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O‘zbekiston Respublikasi Prezidenti, Vazirlar Mahkamasi hujjatlari bilan bojxona imtiyozlari va preferensiyalar,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shu jumladan individual imtiyozlar berilgan sub’yektlar, ularning yakuniy benefisiar (foyda oluvchi) jismoniy shaxslari,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ularning to‘lagan soliqlari va moliyaviy ko‘rsatkichlari to‘g‘risidagi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51"/>
        <w:gridCol w:w="2139"/>
        <w:gridCol w:w="1415"/>
        <w:gridCol w:w="1986"/>
        <w:gridCol w:w="1842"/>
        <w:gridCol w:w="1843"/>
        <w:gridCol w:w="1641"/>
        <w:gridCol w:w="1478"/>
        <w:gridCol w:w="1417"/>
        <w:gridCol w:w="1403"/>
      </w:tblGrid>
      <w:tr>
        <w:trPr>
          <w:trHeight w:val="430" w:hRule="auto"/>
          <w:jc w:val="left"/>
        </w:trPr>
        <w:tc>
          <w:tcPr>
            <w:tcW w:w="5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21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 ва преференция берилган </w:t>
              <w:br/>
              <w:t xml:space="preserve">субъектнинг номи </w:t>
              <w:br/>
            </w:r>
          </w:p>
        </w:tc>
        <w:tc>
          <w:tcPr>
            <w:tcW w:w="14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СТИР рақами</w:t>
            </w:r>
          </w:p>
        </w:tc>
        <w:tc>
          <w:tcPr>
            <w:tcW w:w="19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 ва (ёки) преференция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қўллаш учун асос бўлган норматив ҳуқуқий ҳужжат</w:t>
            </w:r>
          </w:p>
        </w:tc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Қўлланилган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преференциянинг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умумий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миқдори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77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Шундан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):</w:t>
            </w:r>
          </w:p>
        </w:tc>
      </w:tr>
      <w:tr>
        <w:trPr>
          <w:trHeight w:val="785" w:hRule="auto"/>
          <w:jc w:val="left"/>
        </w:trPr>
        <w:tc>
          <w:tcPr>
            <w:tcW w:w="5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Тариф имтиёзлари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Қўшилган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қиймат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солиғини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тўлаш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бўйича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Акциз солиғини тўлаш </w:t>
              <w:br/>
              <w:t xml:space="preserve">бўйича имтиёз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Божхона йиғимларини тўлаш бўйича имтиёз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Тариф преференциялари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571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эълон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чораги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даври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бўйича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жами: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(Ўзбекистон Республикаси Президенти, Вазирлар Маҳкамаси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ҳужжатлари, шунингдек бошқа қонун (қонунчилик) ҳужжатлари билан берилган)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божхона имтиёзлари ва преференциялар, шу жумладан индивидуал имтиёзлар берилган ҳар бир субъект асосида шакллантирилиб </w:t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қўшилганда жадвалнинг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5-10-устунларнинг кўрсаткичлари ҳисобот йили давомида ўсиб борувчи тартибида киритилади)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Иқтисодиёт ва молия вазирлигининг расмий веб-сайти ҳамда Очиқ маълумотлар порталидаги саҳифасида жойлаштирилади;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имтиёз ва преференция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қўлланилган ҳар бир субъект кесимида,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